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E18EA" w14:textId="5C5EBF78" w:rsidR="00773F25" w:rsidRPr="00773F25" w:rsidRDefault="00773F25" w:rsidP="00CD6212">
      <w:pPr>
        <w:spacing w:line="480" w:lineRule="auto"/>
        <w:jc w:val="center"/>
        <w:rPr>
          <w:b/>
          <w:bCs/>
        </w:rPr>
      </w:pPr>
      <w:bookmarkStart w:id="0" w:name="_GoBack"/>
      <w:bookmarkEnd w:id="0"/>
    </w:p>
    <w:p w14:paraId="5241092F" w14:textId="1F69C741" w:rsidR="00773F25" w:rsidRPr="00773F25" w:rsidRDefault="000056E9" w:rsidP="00773F25">
      <w:pPr>
        <w:spacing w:line="480" w:lineRule="auto"/>
        <w:jc w:val="center"/>
        <w:rPr>
          <w:b/>
          <w:bCs/>
        </w:rPr>
      </w:pPr>
      <w:r w:rsidRPr="00773F25">
        <w:rPr>
          <w:b/>
          <w:bCs/>
        </w:rPr>
        <w:t>Concepts Description</w:t>
      </w:r>
    </w:p>
    <w:p w14:paraId="380DC562" w14:textId="0359FFFF" w:rsidR="00773F25" w:rsidRDefault="00773F25" w:rsidP="00773F25">
      <w:pPr>
        <w:spacing w:line="480" w:lineRule="auto"/>
      </w:pPr>
    </w:p>
    <w:p w14:paraId="2EBE8060" w14:textId="5D4FB931" w:rsidR="00773F25" w:rsidRDefault="00773F25" w:rsidP="00773F25">
      <w:pPr>
        <w:spacing w:line="480" w:lineRule="auto"/>
      </w:pPr>
    </w:p>
    <w:p w14:paraId="1D970DB8" w14:textId="77777777" w:rsidR="00773F25" w:rsidRPr="0082202F" w:rsidRDefault="000056E9" w:rsidP="00773F25">
      <w:pPr>
        <w:spacing w:after="0" w:line="480" w:lineRule="auto"/>
        <w:contextualSpacing/>
        <w:jc w:val="center"/>
      </w:pPr>
      <w:r w:rsidRPr="0082202F">
        <w:t>Student’s Name</w:t>
      </w:r>
    </w:p>
    <w:p w14:paraId="46F5FF78" w14:textId="77777777" w:rsidR="00773F25" w:rsidRPr="0082202F" w:rsidRDefault="000056E9" w:rsidP="00773F25">
      <w:pPr>
        <w:spacing w:after="0" w:line="480" w:lineRule="auto"/>
        <w:contextualSpacing/>
        <w:jc w:val="center"/>
      </w:pPr>
      <w:r w:rsidRPr="0082202F">
        <w:t>Institutional Affiliation</w:t>
      </w:r>
    </w:p>
    <w:p w14:paraId="66567E33" w14:textId="77777777" w:rsidR="00773F25" w:rsidRPr="0082202F" w:rsidRDefault="000056E9" w:rsidP="00773F25">
      <w:pPr>
        <w:spacing w:after="0" w:line="480" w:lineRule="auto"/>
        <w:contextualSpacing/>
        <w:jc w:val="center"/>
      </w:pPr>
      <w:r w:rsidRPr="0082202F">
        <w:t>Course</w:t>
      </w:r>
    </w:p>
    <w:p w14:paraId="1F34620A" w14:textId="77777777" w:rsidR="00773F25" w:rsidRPr="0082202F" w:rsidRDefault="000056E9" w:rsidP="00773F25">
      <w:pPr>
        <w:spacing w:after="0" w:line="480" w:lineRule="auto"/>
        <w:contextualSpacing/>
        <w:jc w:val="center"/>
      </w:pPr>
      <w:r w:rsidRPr="0082202F">
        <w:t>Instructor Name</w:t>
      </w:r>
    </w:p>
    <w:p w14:paraId="37A1E89C" w14:textId="6D0F178F" w:rsidR="00773F25" w:rsidRDefault="000056E9" w:rsidP="00773F25">
      <w:pPr>
        <w:spacing w:after="0" w:line="480" w:lineRule="auto"/>
        <w:contextualSpacing/>
        <w:jc w:val="center"/>
      </w:pPr>
      <w:r w:rsidRPr="0082202F">
        <w:t>Date</w:t>
      </w:r>
    </w:p>
    <w:p w14:paraId="21C05810" w14:textId="77777777" w:rsidR="00773F25" w:rsidRPr="0082202F" w:rsidRDefault="00773F25" w:rsidP="00773F25">
      <w:pPr>
        <w:spacing w:after="0" w:line="480" w:lineRule="auto"/>
        <w:contextualSpacing/>
      </w:pPr>
    </w:p>
    <w:p w14:paraId="5680703B" w14:textId="6AFF1482" w:rsidR="00773F25" w:rsidRDefault="00773F25" w:rsidP="00773F25">
      <w:pPr>
        <w:spacing w:line="480" w:lineRule="auto"/>
      </w:pPr>
    </w:p>
    <w:p w14:paraId="56C2AFFE" w14:textId="05E68B5A" w:rsidR="00773F25" w:rsidRDefault="00773F25" w:rsidP="00773F25">
      <w:pPr>
        <w:spacing w:line="480" w:lineRule="auto"/>
      </w:pPr>
    </w:p>
    <w:p w14:paraId="787CBAA2" w14:textId="6410C8DE" w:rsidR="00773F25" w:rsidRDefault="00773F25" w:rsidP="00773F25">
      <w:pPr>
        <w:spacing w:line="480" w:lineRule="auto"/>
      </w:pPr>
    </w:p>
    <w:p w14:paraId="72F6DBC4" w14:textId="0359D65C" w:rsidR="00773F25" w:rsidRDefault="00773F25" w:rsidP="00773F25">
      <w:pPr>
        <w:spacing w:line="480" w:lineRule="auto"/>
      </w:pPr>
    </w:p>
    <w:p w14:paraId="2881271E" w14:textId="7DC67D5D" w:rsidR="00773F25" w:rsidRDefault="00773F25" w:rsidP="00773F25">
      <w:pPr>
        <w:spacing w:line="480" w:lineRule="auto"/>
      </w:pPr>
    </w:p>
    <w:p w14:paraId="42C46653" w14:textId="03965CA4" w:rsidR="00773F25" w:rsidRDefault="00773F25" w:rsidP="00773F25">
      <w:pPr>
        <w:spacing w:line="480" w:lineRule="auto"/>
      </w:pPr>
    </w:p>
    <w:p w14:paraId="3A6CB4EE" w14:textId="7765CE86" w:rsidR="00773F25" w:rsidRDefault="00773F25" w:rsidP="00773F25">
      <w:pPr>
        <w:spacing w:line="480" w:lineRule="auto"/>
      </w:pPr>
    </w:p>
    <w:p w14:paraId="17B0D023" w14:textId="752D8017" w:rsidR="00773F25" w:rsidRDefault="00773F25" w:rsidP="00773F25">
      <w:pPr>
        <w:spacing w:line="480" w:lineRule="auto"/>
      </w:pPr>
    </w:p>
    <w:p w14:paraId="6D97E717" w14:textId="77895D8E" w:rsidR="00773F25" w:rsidRDefault="00773F25" w:rsidP="00773F25">
      <w:pPr>
        <w:spacing w:line="480" w:lineRule="auto"/>
      </w:pPr>
    </w:p>
    <w:p w14:paraId="46A227DB" w14:textId="55DFC5B0" w:rsidR="00773F25" w:rsidRDefault="00773F25" w:rsidP="00773F25">
      <w:pPr>
        <w:spacing w:line="480" w:lineRule="auto"/>
      </w:pPr>
    </w:p>
    <w:p w14:paraId="04AFD592" w14:textId="615F50D3" w:rsidR="00773F25" w:rsidRPr="00773F25" w:rsidRDefault="000056E9" w:rsidP="00773F25">
      <w:pPr>
        <w:spacing w:line="480" w:lineRule="auto"/>
        <w:jc w:val="center"/>
        <w:rPr>
          <w:b/>
          <w:bCs/>
        </w:rPr>
      </w:pPr>
      <w:r w:rsidRPr="00773F25">
        <w:rPr>
          <w:b/>
          <w:bCs/>
        </w:rPr>
        <w:lastRenderedPageBreak/>
        <w:t>Concepts Description</w:t>
      </w:r>
    </w:p>
    <w:p w14:paraId="649CF098" w14:textId="40B1A032" w:rsidR="00773F25" w:rsidRDefault="000056E9" w:rsidP="00773F25">
      <w:pPr>
        <w:pStyle w:val="ListParagraph"/>
        <w:numPr>
          <w:ilvl w:val="0"/>
          <w:numId w:val="1"/>
        </w:numPr>
        <w:spacing w:line="480" w:lineRule="auto"/>
      </w:pPr>
      <w:r>
        <w:t>Public health: refers to the promotion, enhancement, and protection of people's health</w:t>
      </w:r>
      <w:r w:rsidR="00093F40">
        <w:t xml:space="preserve"> in</w:t>
      </w:r>
      <w:r>
        <w:t xml:space="preserve"> respect to their communities</w:t>
      </w:r>
      <w:r w:rsidR="003A0745">
        <w:t xml:space="preserve"> (</w:t>
      </w:r>
      <w:r w:rsidR="003A0745" w:rsidRPr="003A0745">
        <w:rPr>
          <w:rFonts w:cs="Times New Roman"/>
          <w:color w:val="222222"/>
          <w:szCs w:val="24"/>
          <w:shd w:val="clear" w:color="auto" w:fill="FFFFFF"/>
        </w:rPr>
        <w:t>Heymann</w:t>
      </w:r>
      <w:r w:rsidR="003A0745">
        <w:rPr>
          <w:rFonts w:cs="Times New Roman"/>
          <w:color w:val="222222"/>
          <w:szCs w:val="24"/>
          <w:shd w:val="clear" w:color="auto" w:fill="FFFFFF"/>
        </w:rPr>
        <w:t>., 2020)</w:t>
      </w:r>
      <w:r>
        <w:t>. public health is achieved by the formulation of various policies by the government, such as free medical services and public education concerning health.</w:t>
      </w:r>
    </w:p>
    <w:p w14:paraId="421F8333" w14:textId="5DFC848C" w:rsidR="0068220D" w:rsidRDefault="000056E9" w:rsidP="00773F25">
      <w:pPr>
        <w:pStyle w:val="ListParagraph"/>
        <w:numPr>
          <w:ilvl w:val="0"/>
          <w:numId w:val="1"/>
        </w:numPr>
        <w:spacing w:line="480" w:lineRule="auto"/>
      </w:pPr>
      <w:r>
        <w:t>Health policy: is defined as the general decisions, actions, and well-stipulated plans that are formulated with the aim of specific set goals in the community or society healthcare. Health care policies may be short-term or long-term, but they aim to reduce disease infection rate</w:t>
      </w:r>
      <w:r w:rsidR="003A0745">
        <w:t>s (</w:t>
      </w:r>
      <w:r w:rsidR="003A0745" w:rsidRPr="003A0745">
        <w:rPr>
          <w:rFonts w:cs="Times New Roman"/>
          <w:color w:val="222222"/>
          <w:szCs w:val="24"/>
          <w:shd w:val="clear" w:color="auto" w:fill="FFFFFF"/>
        </w:rPr>
        <w:t>Allsop</w:t>
      </w:r>
      <w:r w:rsidR="003A0745">
        <w:rPr>
          <w:rFonts w:cs="Times New Roman"/>
          <w:color w:val="222222"/>
          <w:szCs w:val="24"/>
          <w:shd w:val="clear" w:color="auto" w:fill="FFFFFF"/>
        </w:rPr>
        <w:t>, 2018)</w:t>
      </w:r>
      <w:r>
        <w:t>. Moreover, health policies are mainly formulated by both government levels with collaboration with the ministry of health.</w:t>
      </w:r>
    </w:p>
    <w:p w14:paraId="75351A63" w14:textId="3C9CFE52" w:rsidR="0068220D" w:rsidRDefault="000056E9" w:rsidP="00773F25">
      <w:pPr>
        <w:pStyle w:val="ListParagraph"/>
        <w:numPr>
          <w:ilvl w:val="0"/>
          <w:numId w:val="1"/>
        </w:numPr>
        <w:spacing w:line="480" w:lineRule="auto"/>
      </w:pPr>
      <w:r>
        <w:t>Surveillance: it is the continuous, well-organized collection, interpretation, and tabulation of data related to healthcare. The analysis of health data helps in the planning, development, and implementation of beneficial health practices. Surveillance is carried out by an independent body revealing all the operations in the health sector</w:t>
      </w:r>
      <w:r w:rsidR="003A0745">
        <w:t xml:space="preserve"> (</w:t>
      </w:r>
      <w:r w:rsidR="003A0745" w:rsidRPr="003A0745">
        <w:rPr>
          <w:rFonts w:cs="Times New Roman"/>
          <w:color w:val="222222"/>
          <w:szCs w:val="24"/>
          <w:shd w:val="clear" w:color="auto" w:fill="FFFFFF"/>
        </w:rPr>
        <w:t>Heymann</w:t>
      </w:r>
      <w:r w:rsidR="003A0745">
        <w:rPr>
          <w:rFonts w:cs="Times New Roman"/>
          <w:color w:val="222222"/>
          <w:szCs w:val="24"/>
          <w:shd w:val="clear" w:color="auto" w:fill="FFFFFF"/>
        </w:rPr>
        <w:t>., 2020)</w:t>
      </w:r>
      <w:r>
        <w:t>.</w:t>
      </w:r>
    </w:p>
    <w:p w14:paraId="3B295C87" w14:textId="6F4A9B18" w:rsidR="007215CD" w:rsidRDefault="000056E9" w:rsidP="00773F25">
      <w:pPr>
        <w:pStyle w:val="ListParagraph"/>
        <w:numPr>
          <w:ilvl w:val="0"/>
          <w:numId w:val="1"/>
        </w:numPr>
        <w:spacing w:line="480" w:lineRule="auto"/>
      </w:pPr>
      <w:r>
        <w:t xml:space="preserve">Standards: refers to unique statements that define a health care </w:t>
      </w:r>
      <w:r w:rsidR="003A0745">
        <w:t>institution</w:t>
      </w:r>
      <w:r>
        <w:t xml:space="preserve">. The standard reports indicate the operations and how they are executed and help the department of health determine whether an </w:t>
      </w:r>
      <w:r w:rsidR="003A0745">
        <w:t>institution</w:t>
      </w:r>
      <w:r>
        <w:t xml:space="preserve"> is fit to conduct specific health care services or not</w:t>
      </w:r>
      <w:r w:rsidR="003A0745">
        <w:t xml:space="preserve"> (</w:t>
      </w:r>
      <w:r w:rsidR="003A0745" w:rsidRPr="003A0745">
        <w:rPr>
          <w:rFonts w:cs="Times New Roman"/>
          <w:color w:val="222222"/>
          <w:szCs w:val="24"/>
          <w:shd w:val="clear" w:color="auto" w:fill="FFFFFF"/>
        </w:rPr>
        <w:t>Allsop</w:t>
      </w:r>
      <w:r w:rsidR="003A0745">
        <w:rPr>
          <w:rFonts w:cs="Times New Roman"/>
          <w:color w:val="222222"/>
          <w:szCs w:val="24"/>
          <w:shd w:val="clear" w:color="auto" w:fill="FFFFFF"/>
        </w:rPr>
        <w:t>., 2018)</w:t>
      </w:r>
      <w:r>
        <w:t>. The primary healthcare stakeholders who help determine a healthcare facility's standards are the patients, doctors, nurses, and other hospital staff.</w:t>
      </w:r>
    </w:p>
    <w:p w14:paraId="4B8BA2F0" w14:textId="7563FE62" w:rsidR="007215CD" w:rsidRDefault="000056E9" w:rsidP="00773F25">
      <w:pPr>
        <w:pStyle w:val="ListParagraph"/>
        <w:numPr>
          <w:ilvl w:val="0"/>
          <w:numId w:val="1"/>
        </w:numPr>
        <w:spacing w:line="480" w:lineRule="auto"/>
      </w:pPr>
      <w:r>
        <w:t xml:space="preserve">Quality of health care: the concept is appropriately defined as the value of healthcare services provided in any medical facility. </w:t>
      </w:r>
      <w:r w:rsidR="003A0745">
        <w:t>Moreover,</w:t>
      </w:r>
      <w:r>
        <w:t xml:space="preserve"> it may also be defined as the degree of health care services that determine patients' preferability to a specific health facility. The quality of healthcare is determined by assessing services provided, for example, patient care and data collection methods in healthcare</w:t>
      </w:r>
      <w:r w:rsidR="003A0745">
        <w:t xml:space="preserve"> (</w:t>
      </w:r>
      <w:r w:rsidR="003A0745" w:rsidRPr="003A0745">
        <w:rPr>
          <w:rFonts w:cs="Times New Roman"/>
          <w:color w:val="222222"/>
          <w:szCs w:val="24"/>
          <w:shd w:val="clear" w:color="auto" w:fill="FFFFFF"/>
        </w:rPr>
        <w:t>Turner</w:t>
      </w:r>
      <w:r w:rsidR="003A0745">
        <w:rPr>
          <w:rFonts w:cs="Times New Roman"/>
          <w:color w:val="222222"/>
          <w:szCs w:val="24"/>
          <w:shd w:val="clear" w:color="auto" w:fill="FFFFFF"/>
        </w:rPr>
        <w:t xml:space="preserve"> et al., 2017)</w:t>
      </w:r>
      <w:r>
        <w:t>. Quality healthcare also refers to the availability of health services to a patient within a short time at an affordable price.</w:t>
      </w:r>
    </w:p>
    <w:p w14:paraId="63DC3CB9" w14:textId="37DA450D" w:rsidR="00A056EC" w:rsidRDefault="000056E9" w:rsidP="00773F25">
      <w:pPr>
        <w:pStyle w:val="ListParagraph"/>
        <w:numPr>
          <w:ilvl w:val="0"/>
          <w:numId w:val="1"/>
        </w:numPr>
        <w:spacing w:line="480" w:lineRule="auto"/>
      </w:pPr>
      <w:r>
        <w:t xml:space="preserve">Outbreak: refers to a sudden and gradual increase in disease occurrence in a particular location and time. An appropriate example of this concept is the Covid-19 outbreak. The virus used to exist, but </w:t>
      </w:r>
      <w:r w:rsidR="003A0745">
        <w:t>occurrences</w:t>
      </w:r>
      <w:r>
        <w:t xml:space="preserve"> suddenly increased in 2019. In most cases, an outbreak affects a large group of people and may suppress the health care system</w:t>
      </w:r>
      <w:r w:rsidR="003A0745">
        <w:t xml:space="preserve"> (</w:t>
      </w:r>
      <w:r w:rsidR="003A0745" w:rsidRPr="003A0745">
        <w:rPr>
          <w:rFonts w:cs="Times New Roman"/>
          <w:color w:val="222222"/>
          <w:szCs w:val="24"/>
          <w:shd w:val="clear" w:color="auto" w:fill="FFFFFF"/>
        </w:rPr>
        <w:t>Allsop</w:t>
      </w:r>
      <w:r w:rsidR="003A0745">
        <w:rPr>
          <w:rFonts w:cs="Times New Roman"/>
          <w:color w:val="222222"/>
          <w:szCs w:val="24"/>
          <w:shd w:val="clear" w:color="auto" w:fill="FFFFFF"/>
        </w:rPr>
        <w:t>., 2018)</w:t>
      </w:r>
      <w:r>
        <w:t>. Transmission from one person to another within a short time propels a disease outbreak.</w:t>
      </w:r>
    </w:p>
    <w:p w14:paraId="4ACA4081" w14:textId="1D197605" w:rsidR="00CD7970" w:rsidRDefault="000056E9" w:rsidP="00773F25">
      <w:pPr>
        <w:pStyle w:val="ListParagraph"/>
        <w:numPr>
          <w:ilvl w:val="0"/>
          <w:numId w:val="1"/>
        </w:numPr>
        <w:spacing w:line="480" w:lineRule="auto"/>
      </w:pPr>
      <w:r>
        <w:t xml:space="preserve"> Illness: it is an abnormal body condition that negatively impacts the function of body organs, for example, AIDS, whooping cough, and Cancer. In most cases, illness is linked to a sickness period where an individual portrays </w:t>
      </w:r>
      <w:r w:rsidR="003A0745">
        <w:t>signs</w:t>
      </w:r>
      <w:r>
        <w:t xml:space="preserve"> and symptoms that help diagnose the illness </w:t>
      </w:r>
      <w:r w:rsidR="003A0745">
        <w:t>type</w:t>
      </w:r>
      <w:r>
        <w:t xml:space="preserve"> he/she is suffering from</w:t>
      </w:r>
      <w:r w:rsidR="003A0745">
        <w:t xml:space="preserve"> (</w:t>
      </w:r>
      <w:r w:rsidR="003A0745" w:rsidRPr="003A0745">
        <w:rPr>
          <w:rFonts w:cs="Times New Roman"/>
          <w:color w:val="222222"/>
          <w:szCs w:val="24"/>
          <w:shd w:val="clear" w:color="auto" w:fill="FFFFFF"/>
        </w:rPr>
        <w:t>Turner</w:t>
      </w:r>
      <w:r w:rsidR="003A0745">
        <w:rPr>
          <w:rFonts w:cs="Times New Roman"/>
          <w:color w:val="222222"/>
          <w:szCs w:val="24"/>
          <w:shd w:val="clear" w:color="auto" w:fill="FFFFFF"/>
        </w:rPr>
        <w:t xml:space="preserve"> et al., 2017)</w:t>
      </w:r>
      <w:r>
        <w:t>.</w:t>
      </w:r>
    </w:p>
    <w:p w14:paraId="73089446" w14:textId="28C47EAC" w:rsidR="00CD7970" w:rsidRDefault="000056E9" w:rsidP="00773F25">
      <w:pPr>
        <w:pStyle w:val="ListParagraph"/>
        <w:numPr>
          <w:ilvl w:val="0"/>
          <w:numId w:val="1"/>
        </w:numPr>
        <w:spacing w:line="480" w:lineRule="auto"/>
      </w:pPr>
      <w:r>
        <w:t xml:space="preserve">Mortality: is also </w:t>
      </w:r>
      <w:r w:rsidR="003A0745">
        <w:t>referred</w:t>
      </w:r>
      <w:r>
        <w:t xml:space="preserve"> to as the death rate, and it indicates the total number of deaths recorded in a specific health institution at a given time. Moreover, the mortality rate is determined by the population's ratio per unit time</w:t>
      </w:r>
      <w:r w:rsidR="003A0745">
        <w:t xml:space="preserve"> (</w:t>
      </w:r>
      <w:r w:rsidR="003A0745" w:rsidRPr="003A0745">
        <w:rPr>
          <w:rFonts w:cs="Times New Roman"/>
          <w:color w:val="222222"/>
          <w:szCs w:val="24"/>
          <w:shd w:val="clear" w:color="auto" w:fill="FFFFFF"/>
        </w:rPr>
        <w:t>Heymann</w:t>
      </w:r>
      <w:r w:rsidR="003A0745">
        <w:rPr>
          <w:rFonts w:cs="Times New Roman"/>
          <w:color w:val="222222"/>
          <w:szCs w:val="24"/>
          <w:shd w:val="clear" w:color="auto" w:fill="FFFFFF"/>
        </w:rPr>
        <w:t>., 2020)</w:t>
      </w:r>
      <w:r>
        <w:t>. Through the determination of mortality rate, the health sector, as well as health professionals, can determine the success rate in combating a specific type of illness.</w:t>
      </w:r>
    </w:p>
    <w:p w14:paraId="3DA96311" w14:textId="66B7BAFA" w:rsidR="00E63CA6" w:rsidRDefault="000056E9" w:rsidP="00E63CA6">
      <w:pPr>
        <w:pStyle w:val="ListParagraph"/>
        <w:numPr>
          <w:ilvl w:val="0"/>
          <w:numId w:val="1"/>
        </w:numPr>
        <w:spacing w:line="480" w:lineRule="auto"/>
      </w:pPr>
      <w:r>
        <w:t>Population: in healthcare, the population is described as individuals' general outcome after the treatment process. Moreover, based on the sociological concept, population refers to a group of people with similar cultural and biological backgrounds living together and interbreeding within a specific locality. Based on the concept as mentioned above, the population may be interpreted as a group of people living in the same location</w:t>
      </w:r>
      <w:r w:rsidR="003A0745">
        <w:t xml:space="preserve"> (</w:t>
      </w:r>
      <w:r w:rsidR="003A0745" w:rsidRPr="003A0745">
        <w:rPr>
          <w:rFonts w:cs="Times New Roman"/>
          <w:color w:val="222222"/>
          <w:szCs w:val="24"/>
          <w:shd w:val="clear" w:color="auto" w:fill="FFFFFF"/>
        </w:rPr>
        <w:t>Allsop</w:t>
      </w:r>
      <w:r w:rsidR="003A0745">
        <w:rPr>
          <w:rFonts w:cs="Times New Roman"/>
          <w:color w:val="222222"/>
          <w:szCs w:val="24"/>
          <w:shd w:val="clear" w:color="auto" w:fill="FFFFFF"/>
        </w:rPr>
        <w:t>., 2018)</w:t>
      </w:r>
      <w:r>
        <w:t>.</w:t>
      </w:r>
    </w:p>
    <w:p w14:paraId="3C03961E" w14:textId="77777777" w:rsidR="003A0745" w:rsidRDefault="003A0745" w:rsidP="003A0745">
      <w:pPr>
        <w:pStyle w:val="ListParagraph"/>
        <w:spacing w:line="480" w:lineRule="auto"/>
        <w:jc w:val="center"/>
      </w:pPr>
    </w:p>
    <w:p w14:paraId="31C465F4" w14:textId="77777777" w:rsidR="003A0745" w:rsidRDefault="003A0745" w:rsidP="003A0745">
      <w:pPr>
        <w:pStyle w:val="ListParagraph"/>
        <w:spacing w:line="480" w:lineRule="auto"/>
        <w:jc w:val="center"/>
      </w:pPr>
    </w:p>
    <w:p w14:paraId="3E930F5B" w14:textId="77777777" w:rsidR="003A0745" w:rsidRDefault="003A0745" w:rsidP="003A0745">
      <w:pPr>
        <w:pStyle w:val="ListParagraph"/>
        <w:spacing w:line="480" w:lineRule="auto"/>
        <w:jc w:val="center"/>
      </w:pPr>
    </w:p>
    <w:p w14:paraId="46AEDD01" w14:textId="77777777" w:rsidR="003A0745" w:rsidRDefault="003A0745" w:rsidP="003A0745">
      <w:pPr>
        <w:pStyle w:val="ListParagraph"/>
        <w:spacing w:line="480" w:lineRule="auto"/>
        <w:jc w:val="center"/>
      </w:pPr>
    </w:p>
    <w:p w14:paraId="5625B9E0" w14:textId="77777777" w:rsidR="003A0745" w:rsidRDefault="003A0745" w:rsidP="003A0745">
      <w:pPr>
        <w:pStyle w:val="ListParagraph"/>
        <w:spacing w:line="480" w:lineRule="auto"/>
        <w:jc w:val="center"/>
      </w:pPr>
    </w:p>
    <w:p w14:paraId="6415637E" w14:textId="77777777" w:rsidR="003A0745" w:rsidRDefault="003A0745" w:rsidP="003A0745">
      <w:pPr>
        <w:pStyle w:val="ListParagraph"/>
        <w:spacing w:line="480" w:lineRule="auto"/>
        <w:jc w:val="center"/>
      </w:pPr>
    </w:p>
    <w:p w14:paraId="6C6DD61E" w14:textId="77777777" w:rsidR="003A0745" w:rsidRDefault="003A0745" w:rsidP="003A0745">
      <w:pPr>
        <w:pStyle w:val="ListParagraph"/>
        <w:spacing w:line="480" w:lineRule="auto"/>
        <w:jc w:val="center"/>
      </w:pPr>
    </w:p>
    <w:p w14:paraId="6BCEA835" w14:textId="77777777" w:rsidR="003A0745" w:rsidRDefault="003A0745" w:rsidP="003A0745">
      <w:pPr>
        <w:pStyle w:val="ListParagraph"/>
        <w:spacing w:line="480" w:lineRule="auto"/>
        <w:jc w:val="center"/>
      </w:pPr>
    </w:p>
    <w:p w14:paraId="1BCFBA6E" w14:textId="77777777" w:rsidR="003A0745" w:rsidRDefault="003A0745" w:rsidP="003A0745">
      <w:pPr>
        <w:pStyle w:val="ListParagraph"/>
        <w:spacing w:line="480" w:lineRule="auto"/>
        <w:jc w:val="center"/>
      </w:pPr>
    </w:p>
    <w:p w14:paraId="440B211E" w14:textId="77777777" w:rsidR="003A0745" w:rsidRDefault="003A0745" w:rsidP="003A0745">
      <w:pPr>
        <w:pStyle w:val="ListParagraph"/>
        <w:spacing w:line="480" w:lineRule="auto"/>
        <w:jc w:val="center"/>
      </w:pPr>
    </w:p>
    <w:p w14:paraId="43D165AA" w14:textId="77777777" w:rsidR="003A0745" w:rsidRDefault="003A0745" w:rsidP="003A0745">
      <w:pPr>
        <w:pStyle w:val="ListParagraph"/>
        <w:spacing w:line="480" w:lineRule="auto"/>
        <w:jc w:val="center"/>
      </w:pPr>
    </w:p>
    <w:p w14:paraId="59753D99" w14:textId="77777777" w:rsidR="003A0745" w:rsidRDefault="003A0745" w:rsidP="003A0745">
      <w:pPr>
        <w:pStyle w:val="ListParagraph"/>
        <w:spacing w:line="480" w:lineRule="auto"/>
        <w:jc w:val="center"/>
      </w:pPr>
    </w:p>
    <w:p w14:paraId="1814CA5F" w14:textId="77777777" w:rsidR="003A0745" w:rsidRDefault="003A0745" w:rsidP="003A0745">
      <w:pPr>
        <w:pStyle w:val="ListParagraph"/>
        <w:spacing w:line="480" w:lineRule="auto"/>
        <w:jc w:val="center"/>
      </w:pPr>
    </w:p>
    <w:p w14:paraId="6AC7C122" w14:textId="77777777" w:rsidR="003A0745" w:rsidRDefault="003A0745" w:rsidP="003A0745">
      <w:pPr>
        <w:pStyle w:val="ListParagraph"/>
        <w:spacing w:line="480" w:lineRule="auto"/>
        <w:jc w:val="center"/>
      </w:pPr>
    </w:p>
    <w:p w14:paraId="6FD7977C" w14:textId="77777777" w:rsidR="003A0745" w:rsidRDefault="003A0745" w:rsidP="003A0745">
      <w:pPr>
        <w:pStyle w:val="ListParagraph"/>
        <w:spacing w:line="480" w:lineRule="auto"/>
        <w:jc w:val="center"/>
      </w:pPr>
    </w:p>
    <w:p w14:paraId="485185BA" w14:textId="77777777" w:rsidR="003A0745" w:rsidRDefault="003A0745" w:rsidP="003A0745">
      <w:pPr>
        <w:pStyle w:val="ListParagraph"/>
        <w:spacing w:line="480" w:lineRule="auto"/>
        <w:jc w:val="center"/>
      </w:pPr>
    </w:p>
    <w:p w14:paraId="346568C7" w14:textId="77777777" w:rsidR="003A0745" w:rsidRDefault="003A0745" w:rsidP="003A0745">
      <w:pPr>
        <w:pStyle w:val="ListParagraph"/>
        <w:spacing w:line="480" w:lineRule="auto"/>
        <w:jc w:val="center"/>
      </w:pPr>
    </w:p>
    <w:p w14:paraId="66E8E063" w14:textId="77777777" w:rsidR="003A0745" w:rsidRDefault="003A0745" w:rsidP="003A0745">
      <w:pPr>
        <w:pStyle w:val="ListParagraph"/>
        <w:spacing w:line="480" w:lineRule="auto"/>
        <w:jc w:val="center"/>
      </w:pPr>
    </w:p>
    <w:p w14:paraId="6BD09378" w14:textId="77777777" w:rsidR="003A0745" w:rsidRDefault="003A0745" w:rsidP="003A0745">
      <w:pPr>
        <w:pStyle w:val="ListParagraph"/>
        <w:spacing w:line="480" w:lineRule="auto"/>
        <w:jc w:val="center"/>
      </w:pPr>
    </w:p>
    <w:p w14:paraId="5D1053D7" w14:textId="77777777" w:rsidR="003A0745" w:rsidRDefault="003A0745" w:rsidP="003A0745">
      <w:pPr>
        <w:pStyle w:val="ListParagraph"/>
        <w:spacing w:line="480" w:lineRule="auto"/>
        <w:jc w:val="center"/>
      </w:pPr>
    </w:p>
    <w:p w14:paraId="39A9B101" w14:textId="77777777" w:rsidR="003A0745" w:rsidRDefault="003A0745" w:rsidP="003A0745">
      <w:pPr>
        <w:pStyle w:val="ListParagraph"/>
        <w:spacing w:line="480" w:lineRule="auto"/>
        <w:jc w:val="center"/>
      </w:pPr>
    </w:p>
    <w:p w14:paraId="528A2263" w14:textId="566D4981" w:rsidR="00E63CA6" w:rsidRDefault="000056E9" w:rsidP="003A0745">
      <w:pPr>
        <w:pStyle w:val="ListParagraph"/>
        <w:spacing w:line="480" w:lineRule="auto"/>
        <w:jc w:val="center"/>
      </w:pPr>
      <w:r>
        <w:t>References</w:t>
      </w:r>
    </w:p>
    <w:p w14:paraId="604A14A4" w14:textId="77777777" w:rsidR="003A0745" w:rsidRPr="003A0745" w:rsidRDefault="000056E9" w:rsidP="003A0745">
      <w:pPr>
        <w:spacing w:line="480" w:lineRule="auto"/>
        <w:ind w:left="720" w:hanging="720"/>
        <w:rPr>
          <w:rFonts w:cs="Times New Roman"/>
          <w:color w:val="222222"/>
          <w:szCs w:val="24"/>
          <w:shd w:val="clear" w:color="auto" w:fill="FFFFFF"/>
        </w:rPr>
      </w:pPr>
      <w:r w:rsidRPr="003A0745">
        <w:rPr>
          <w:rFonts w:cs="Times New Roman"/>
          <w:color w:val="222222"/>
          <w:szCs w:val="24"/>
          <w:shd w:val="clear" w:color="auto" w:fill="FFFFFF"/>
        </w:rPr>
        <w:t>Allsop, J. (2018). </w:t>
      </w:r>
      <w:r w:rsidRPr="003A0745">
        <w:rPr>
          <w:rFonts w:cs="Times New Roman"/>
          <w:i/>
          <w:iCs/>
          <w:color w:val="222222"/>
          <w:szCs w:val="24"/>
          <w:shd w:val="clear" w:color="auto" w:fill="FFFFFF"/>
        </w:rPr>
        <w:t>Health policy and the NHS: towards 2000</w:t>
      </w:r>
      <w:r w:rsidRPr="003A0745">
        <w:rPr>
          <w:rFonts w:cs="Times New Roman"/>
          <w:color w:val="222222"/>
          <w:szCs w:val="24"/>
          <w:shd w:val="clear" w:color="auto" w:fill="FFFFFF"/>
        </w:rPr>
        <w:t>. Routledge.</w:t>
      </w:r>
    </w:p>
    <w:p w14:paraId="1506BAF0" w14:textId="49596DE2" w:rsidR="003A0745" w:rsidRPr="003A0745" w:rsidRDefault="000056E9" w:rsidP="003A0745">
      <w:pPr>
        <w:spacing w:line="480" w:lineRule="auto"/>
        <w:ind w:left="720" w:hanging="720"/>
        <w:rPr>
          <w:rFonts w:cs="Times New Roman"/>
          <w:color w:val="222222"/>
          <w:szCs w:val="24"/>
          <w:shd w:val="clear" w:color="auto" w:fill="FFFFFF"/>
        </w:rPr>
      </w:pPr>
      <w:r w:rsidRPr="003A0745">
        <w:rPr>
          <w:rFonts w:cs="Times New Roman"/>
          <w:color w:val="222222"/>
          <w:szCs w:val="24"/>
          <w:shd w:val="clear" w:color="auto" w:fill="FFFFFF"/>
        </w:rPr>
        <w:t>Heymann, D. L., &amp; Shindo, N. (2020). COVID-19: what is next for public health? </w:t>
      </w:r>
      <w:r w:rsidRPr="003A0745">
        <w:rPr>
          <w:rFonts w:cs="Times New Roman"/>
          <w:i/>
          <w:iCs/>
          <w:color w:val="222222"/>
          <w:szCs w:val="24"/>
          <w:shd w:val="clear" w:color="auto" w:fill="FFFFFF"/>
        </w:rPr>
        <w:t>The Lancet</w:t>
      </w:r>
      <w:r w:rsidRPr="003A0745">
        <w:rPr>
          <w:rFonts w:cs="Times New Roman"/>
          <w:color w:val="222222"/>
          <w:szCs w:val="24"/>
          <w:shd w:val="clear" w:color="auto" w:fill="FFFFFF"/>
        </w:rPr>
        <w:t>, </w:t>
      </w:r>
      <w:r w:rsidRPr="003A0745">
        <w:rPr>
          <w:rFonts w:cs="Times New Roman"/>
          <w:i/>
          <w:iCs/>
          <w:color w:val="222222"/>
          <w:szCs w:val="24"/>
          <w:shd w:val="clear" w:color="auto" w:fill="FFFFFF"/>
        </w:rPr>
        <w:t>395</w:t>
      </w:r>
      <w:r w:rsidRPr="003A0745">
        <w:rPr>
          <w:rFonts w:cs="Times New Roman"/>
          <w:color w:val="222222"/>
          <w:szCs w:val="24"/>
          <w:shd w:val="clear" w:color="auto" w:fill="FFFFFF"/>
        </w:rPr>
        <w:t>(10224), 542-545.</w:t>
      </w:r>
    </w:p>
    <w:p w14:paraId="3E3E371E" w14:textId="77777777" w:rsidR="003A0745" w:rsidRPr="003A0745" w:rsidRDefault="000056E9" w:rsidP="003A0745">
      <w:pPr>
        <w:spacing w:line="480" w:lineRule="auto"/>
        <w:ind w:left="720" w:hanging="720"/>
        <w:rPr>
          <w:rFonts w:cs="Times New Roman"/>
          <w:szCs w:val="24"/>
        </w:rPr>
      </w:pPr>
      <w:r w:rsidRPr="003A0745">
        <w:rPr>
          <w:rFonts w:cs="Times New Roman"/>
          <w:color w:val="222222"/>
          <w:szCs w:val="24"/>
          <w:shd w:val="clear" w:color="auto" w:fill="FFFFFF"/>
        </w:rPr>
        <w:t>Turner, P. J., Jerschow, E., Umasunthar, T., Lin, R., Campbell, D. E., &amp; Boyle, R. J. (2017). Fatal anaphylaxis: mortality rate and risk factors. </w:t>
      </w:r>
      <w:r w:rsidRPr="003A0745">
        <w:rPr>
          <w:rFonts w:cs="Times New Roman"/>
          <w:i/>
          <w:iCs/>
          <w:color w:val="222222"/>
          <w:szCs w:val="24"/>
          <w:shd w:val="clear" w:color="auto" w:fill="FFFFFF"/>
        </w:rPr>
        <w:t>The Journal of Allergy and Clinical Immunology: In Practice</w:t>
      </w:r>
      <w:r w:rsidRPr="003A0745">
        <w:rPr>
          <w:rFonts w:cs="Times New Roman"/>
          <w:color w:val="222222"/>
          <w:szCs w:val="24"/>
          <w:shd w:val="clear" w:color="auto" w:fill="FFFFFF"/>
        </w:rPr>
        <w:t>, </w:t>
      </w:r>
      <w:r w:rsidRPr="003A0745">
        <w:rPr>
          <w:rFonts w:cs="Times New Roman"/>
          <w:i/>
          <w:iCs/>
          <w:color w:val="222222"/>
          <w:szCs w:val="24"/>
          <w:shd w:val="clear" w:color="auto" w:fill="FFFFFF"/>
        </w:rPr>
        <w:t>5</w:t>
      </w:r>
      <w:r w:rsidRPr="003A0745">
        <w:rPr>
          <w:rFonts w:cs="Times New Roman"/>
          <w:color w:val="222222"/>
          <w:szCs w:val="24"/>
          <w:shd w:val="clear" w:color="auto" w:fill="FFFFFF"/>
        </w:rPr>
        <w:t>(5), 1169-1178.</w:t>
      </w:r>
      <w:r w:rsidRPr="003A0745">
        <w:rPr>
          <w:rFonts w:cs="Times New Roman"/>
          <w:szCs w:val="24"/>
        </w:rPr>
        <w:t xml:space="preserve"> </w:t>
      </w:r>
    </w:p>
    <w:sectPr w:rsidR="003A0745" w:rsidRPr="003A07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FD374" w14:textId="77777777" w:rsidR="00685F9D" w:rsidRDefault="00685F9D">
      <w:pPr>
        <w:spacing w:after="0" w:line="240" w:lineRule="auto"/>
      </w:pPr>
      <w:r>
        <w:separator/>
      </w:r>
    </w:p>
  </w:endnote>
  <w:endnote w:type="continuationSeparator" w:id="0">
    <w:p w14:paraId="265ACE4A" w14:textId="77777777" w:rsidR="00685F9D" w:rsidRDefault="00685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20E71E" w14:textId="77777777" w:rsidR="00685F9D" w:rsidRDefault="00685F9D">
      <w:pPr>
        <w:spacing w:after="0" w:line="240" w:lineRule="auto"/>
      </w:pPr>
      <w:r>
        <w:separator/>
      </w:r>
    </w:p>
  </w:footnote>
  <w:footnote w:type="continuationSeparator" w:id="0">
    <w:p w14:paraId="33BE3D25" w14:textId="77777777" w:rsidR="00685F9D" w:rsidRDefault="00685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424073"/>
      <w:docPartObj>
        <w:docPartGallery w:val="Page Numbers (Top of Page)"/>
        <w:docPartUnique/>
      </w:docPartObj>
    </w:sdtPr>
    <w:sdtEndPr>
      <w:rPr>
        <w:noProof/>
      </w:rPr>
    </w:sdtEndPr>
    <w:sdtContent>
      <w:p w14:paraId="2C737F4E" w14:textId="00A9CE87" w:rsidR="00773F25" w:rsidRDefault="000056E9">
        <w:pPr>
          <w:pStyle w:val="Header"/>
          <w:jc w:val="right"/>
        </w:pPr>
        <w:r>
          <w:fldChar w:fldCharType="begin"/>
        </w:r>
        <w:r>
          <w:instrText xml:space="preserve"> PAGE   \* MERGEFORMAT </w:instrText>
        </w:r>
        <w:r>
          <w:fldChar w:fldCharType="separate"/>
        </w:r>
        <w:r w:rsidR="00685F9D">
          <w:rPr>
            <w:noProof/>
          </w:rPr>
          <w:t>1</w:t>
        </w:r>
        <w:r>
          <w:rPr>
            <w:noProof/>
          </w:rPr>
          <w:fldChar w:fldCharType="end"/>
        </w:r>
      </w:p>
    </w:sdtContent>
  </w:sdt>
  <w:p w14:paraId="469EE2F7" w14:textId="77777777" w:rsidR="00773F25" w:rsidRDefault="00773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F570A"/>
    <w:multiLevelType w:val="hybridMultilevel"/>
    <w:tmpl w:val="4A90FE7E"/>
    <w:lvl w:ilvl="0" w:tplc="0F708B14">
      <w:start w:val="1"/>
      <w:numFmt w:val="decimal"/>
      <w:lvlText w:val="%1."/>
      <w:lvlJc w:val="left"/>
      <w:pPr>
        <w:ind w:left="720" w:hanging="360"/>
      </w:pPr>
      <w:rPr>
        <w:rFonts w:hint="default"/>
      </w:rPr>
    </w:lvl>
    <w:lvl w:ilvl="1" w:tplc="116E2014" w:tentative="1">
      <w:start w:val="1"/>
      <w:numFmt w:val="lowerLetter"/>
      <w:lvlText w:val="%2."/>
      <w:lvlJc w:val="left"/>
      <w:pPr>
        <w:ind w:left="1440" w:hanging="360"/>
      </w:pPr>
    </w:lvl>
    <w:lvl w:ilvl="2" w:tplc="02F03272" w:tentative="1">
      <w:start w:val="1"/>
      <w:numFmt w:val="lowerRoman"/>
      <w:lvlText w:val="%3."/>
      <w:lvlJc w:val="right"/>
      <w:pPr>
        <w:ind w:left="2160" w:hanging="180"/>
      </w:pPr>
    </w:lvl>
    <w:lvl w:ilvl="3" w:tplc="9762F2A4" w:tentative="1">
      <w:start w:val="1"/>
      <w:numFmt w:val="decimal"/>
      <w:lvlText w:val="%4."/>
      <w:lvlJc w:val="left"/>
      <w:pPr>
        <w:ind w:left="2880" w:hanging="360"/>
      </w:pPr>
    </w:lvl>
    <w:lvl w:ilvl="4" w:tplc="1AD6ED0C" w:tentative="1">
      <w:start w:val="1"/>
      <w:numFmt w:val="lowerLetter"/>
      <w:lvlText w:val="%5."/>
      <w:lvlJc w:val="left"/>
      <w:pPr>
        <w:ind w:left="3600" w:hanging="360"/>
      </w:pPr>
    </w:lvl>
    <w:lvl w:ilvl="5" w:tplc="A5121A62" w:tentative="1">
      <w:start w:val="1"/>
      <w:numFmt w:val="lowerRoman"/>
      <w:lvlText w:val="%6."/>
      <w:lvlJc w:val="right"/>
      <w:pPr>
        <w:ind w:left="4320" w:hanging="180"/>
      </w:pPr>
    </w:lvl>
    <w:lvl w:ilvl="6" w:tplc="85C44676" w:tentative="1">
      <w:start w:val="1"/>
      <w:numFmt w:val="decimal"/>
      <w:lvlText w:val="%7."/>
      <w:lvlJc w:val="left"/>
      <w:pPr>
        <w:ind w:left="5040" w:hanging="360"/>
      </w:pPr>
    </w:lvl>
    <w:lvl w:ilvl="7" w:tplc="817CE2EA" w:tentative="1">
      <w:start w:val="1"/>
      <w:numFmt w:val="lowerLetter"/>
      <w:lvlText w:val="%8."/>
      <w:lvlJc w:val="left"/>
      <w:pPr>
        <w:ind w:left="5760" w:hanging="360"/>
      </w:pPr>
    </w:lvl>
    <w:lvl w:ilvl="8" w:tplc="B4B4F6E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25"/>
    <w:rsid w:val="000056E9"/>
    <w:rsid w:val="00093F40"/>
    <w:rsid w:val="003215E3"/>
    <w:rsid w:val="003A0745"/>
    <w:rsid w:val="0068220D"/>
    <w:rsid w:val="00685F9D"/>
    <w:rsid w:val="007215CD"/>
    <w:rsid w:val="00773F25"/>
    <w:rsid w:val="0082202F"/>
    <w:rsid w:val="00A056EC"/>
    <w:rsid w:val="00C401F7"/>
    <w:rsid w:val="00CD6212"/>
    <w:rsid w:val="00CD7970"/>
    <w:rsid w:val="00E63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B5EA8"/>
  <w15:chartTrackingRefBased/>
  <w15:docId w15:val="{E92719AE-F221-4640-A4ED-667C3445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F25"/>
  </w:style>
  <w:style w:type="paragraph" w:styleId="Footer">
    <w:name w:val="footer"/>
    <w:basedOn w:val="Normal"/>
    <w:link w:val="FooterChar"/>
    <w:uiPriority w:val="99"/>
    <w:unhideWhenUsed/>
    <w:rsid w:val="00773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F25"/>
  </w:style>
  <w:style w:type="paragraph" w:styleId="ListParagraph">
    <w:name w:val="List Paragraph"/>
    <w:basedOn w:val="Normal"/>
    <w:uiPriority w:val="34"/>
    <w:qFormat/>
    <w:rsid w:val="00773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2020-10-18T17:58:00Z</dcterms:created>
  <dcterms:modified xsi:type="dcterms:W3CDTF">2020-10-18T17:58:00Z</dcterms:modified>
</cp:coreProperties>
</file>